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Strong"/>
          <w:rFonts w:ascii="Arial" w:hAnsi="Arial" w:cs="Arial"/>
          <w:color w:val="222222"/>
          <w:sz w:val="21"/>
          <w:szCs w:val="21"/>
        </w:rPr>
        <w:t>Scholarship of Educational Leadership/</w:t>
      </w:r>
      <w:proofErr w:type="spellStart"/>
      <w:r>
        <w:rPr>
          <w:rStyle w:val="Strong"/>
          <w:rFonts w:ascii="Arial" w:hAnsi="Arial" w:cs="Arial"/>
          <w:color w:val="222222"/>
          <w:sz w:val="21"/>
          <w:szCs w:val="21"/>
        </w:rPr>
        <w:t>SoTL</w:t>
      </w:r>
      <w:proofErr w:type="spellEnd"/>
      <w:r>
        <w:rPr>
          <w:rStyle w:val="Strong"/>
          <w:rFonts w:ascii="Arial" w:hAnsi="Arial" w:cs="Arial"/>
          <w:color w:val="222222"/>
          <w:sz w:val="21"/>
          <w:szCs w:val="21"/>
        </w:rPr>
        <w:t>/</w:t>
      </w:r>
      <w:proofErr w:type="spellStart"/>
      <w:r>
        <w:rPr>
          <w:rStyle w:val="Strong"/>
          <w:rFonts w:ascii="Arial" w:hAnsi="Arial" w:cs="Arial"/>
          <w:color w:val="222222"/>
          <w:sz w:val="21"/>
          <w:szCs w:val="21"/>
        </w:rPr>
        <w:t>SoCP</w:t>
      </w:r>
      <w:proofErr w:type="spellEnd"/>
    </w:p>
    <w:p w:rsidR="003A7B81" w:rsidRDefault="003A7B81" w:rsidP="003A7B81">
      <w:pPr>
        <w:rPr>
          <w:rFonts w:ascii="Arial" w:hAnsi="Arial" w:cs="Arial"/>
          <w:color w:val="000000"/>
          <w:sz w:val="21"/>
          <w:szCs w:val="21"/>
        </w:rPr>
      </w:pPr>
      <w:r w:rsidRPr="003A7B81">
        <w:rPr>
          <w:rFonts w:ascii="Arial" w:hAnsi="Arial" w:cs="Arial"/>
          <w:color w:val="000000"/>
          <w:sz w:val="21"/>
          <w:szCs w:val="21"/>
        </w:rPr>
        <w:t xml:space="preserve">Webb, A., </w:t>
      </w:r>
      <w:proofErr w:type="spellStart"/>
      <w:r w:rsidRPr="003A7B81">
        <w:rPr>
          <w:rFonts w:ascii="Arial" w:hAnsi="Arial" w:cs="Arial"/>
          <w:color w:val="000000"/>
          <w:sz w:val="21"/>
          <w:szCs w:val="21"/>
        </w:rPr>
        <w:t>Hubball</w:t>
      </w:r>
      <w:proofErr w:type="spellEnd"/>
      <w:r w:rsidRPr="003A7B81">
        <w:rPr>
          <w:rFonts w:ascii="Arial" w:hAnsi="Arial" w:cs="Arial"/>
          <w:color w:val="000000"/>
          <w:sz w:val="21"/>
          <w:szCs w:val="21"/>
        </w:rPr>
        <w:t>, H., Clarke, A., &amp; Ellis, S. (2019</w:t>
      </w:r>
      <w:r>
        <w:rPr>
          <w:rFonts w:ascii="Arial" w:hAnsi="Arial" w:cs="Arial"/>
          <w:color w:val="000000"/>
          <w:sz w:val="21"/>
          <w:szCs w:val="21"/>
        </w:rPr>
        <w:t>/20</w:t>
      </w:r>
      <w:bookmarkStart w:id="0" w:name="_GoBack"/>
      <w:bookmarkEnd w:id="0"/>
      <w:r w:rsidRPr="003A7B81">
        <w:rPr>
          <w:rFonts w:ascii="Arial" w:hAnsi="Arial" w:cs="Arial"/>
          <w:color w:val="000000"/>
          <w:sz w:val="21"/>
          <w:szCs w:val="21"/>
        </w:rPr>
        <w:t xml:space="preserve">). Strategic Approaches to </w:t>
      </w:r>
      <w:proofErr w:type="spellStart"/>
      <w:r w:rsidRPr="003A7B81">
        <w:rPr>
          <w:rFonts w:ascii="Arial" w:hAnsi="Arial" w:cs="Arial"/>
          <w:color w:val="000000"/>
          <w:sz w:val="21"/>
          <w:szCs w:val="21"/>
        </w:rPr>
        <w:t>SoEL</w:t>
      </w:r>
      <w:proofErr w:type="spellEnd"/>
      <w:r w:rsidRPr="003A7B81">
        <w:rPr>
          <w:rFonts w:ascii="Arial" w:hAnsi="Arial" w:cs="Arial"/>
          <w:color w:val="000000"/>
          <w:sz w:val="21"/>
          <w:szCs w:val="21"/>
        </w:rPr>
        <w:t xml:space="preserve"> Inquiry Within and Across Disciplines: Twenty-year Impact of an International Faculty Development Program in Diverse University Contexts.  </w:t>
      </w:r>
      <w:r w:rsidRPr="003A7B81">
        <w:rPr>
          <w:rFonts w:ascii="Arial" w:hAnsi="Arial" w:cs="Arial"/>
          <w:i/>
          <w:color w:val="000000"/>
          <w:sz w:val="21"/>
          <w:szCs w:val="21"/>
        </w:rPr>
        <w:t>Global Research in Higher Education</w:t>
      </w:r>
      <w:r w:rsidRPr="003A7B81">
        <w:rPr>
          <w:rFonts w:ascii="Arial" w:hAnsi="Arial" w:cs="Arial"/>
          <w:color w:val="000000"/>
          <w:sz w:val="21"/>
          <w:szCs w:val="21"/>
        </w:rPr>
        <w:t xml:space="preserve">, 3(1), 1-24.   </w:t>
      </w:r>
    </w:p>
    <w:p w:rsidR="003A7B81" w:rsidRPr="003A7B81" w:rsidRDefault="003A7B81" w:rsidP="003A7B81">
      <w:pPr>
        <w:rPr>
          <w:rFonts w:ascii="Arial" w:hAnsi="Arial" w:cs="Arial"/>
          <w:color w:val="000000"/>
          <w:sz w:val="21"/>
          <w:szCs w:val="21"/>
        </w:rPr>
      </w:pP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 w:rsidRPr="003A7B81">
        <w:rPr>
          <w:rFonts w:ascii="Arial" w:hAnsi="Arial" w:cs="Arial"/>
          <w:color w:val="222222"/>
          <w:sz w:val="21"/>
          <w:szCs w:val="21"/>
        </w:rPr>
        <w:t>Radafshar</w:t>
      </w:r>
      <w:proofErr w:type="spellEnd"/>
      <w:r w:rsidRPr="003A7B81">
        <w:rPr>
          <w:rFonts w:ascii="Arial" w:hAnsi="Arial" w:cs="Arial"/>
          <w:color w:val="222222"/>
          <w:sz w:val="21"/>
          <w:szCs w:val="21"/>
        </w:rPr>
        <w:t xml:space="preserve">, G., Webb, Andrea S., &amp; </w:t>
      </w:r>
      <w:proofErr w:type="spellStart"/>
      <w:r w:rsidRPr="003A7B81"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 w:rsidRPr="003A7B81">
        <w:rPr>
          <w:rFonts w:ascii="Arial" w:hAnsi="Arial" w:cs="Arial"/>
          <w:color w:val="222222"/>
          <w:sz w:val="21"/>
          <w:szCs w:val="21"/>
        </w:rPr>
        <w:t>, H.T. (2018). Strategic approaches to curriculum integration for pre-doctoral dental education in an Iranian research-intensive university context. </w:t>
      </w:r>
      <w:r w:rsidRPr="003A7B81">
        <w:rPr>
          <w:rStyle w:val="Emphasis"/>
          <w:rFonts w:ascii="Arial" w:hAnsi="Arial" w:cs="Arial"/>
          <w:color w:val="222222"/>
          <w:sz w:val="21"/>
          <w:szCs w:val="21"/>
        </w:rPr>
        <w:t>International Journal of Curriculum and</w:t>
      </w:r>
      <w:r>
        <w:rPr>
          <w:rStyle w:val="Emphasis"/>
          <w:rFonts w:ascii="Arial" w:hAnsi="Arial" w:cs="Arial"/>
          <w:color w:val="222222"/>
          <w:sz w:val="21"/>
          <w:szCs w:val="21"/>
        </w:rPr>
        <w:t xml:space="preserve"> Instruction, 10</w:t>
      </w:r>
      <w:r>
        <w:rPr>
          <w:rFonts w:ascii="Arial" w:hAnsi="Arial" w:cs="Arial"/>
          <w:color w:val="222222"/>
          <w:sz w:val="21"/>
          <w:szCs w:val="21"/>
        </w:rPr>
        <w:t>(1), 21-47.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Selim, H. M., &amp;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H.T. (2017). Strategic Approaches for Entrenching a Culture of Innovation in Teaching and Learning in a Research-intensive University Context: Impact of the Scholarship of Educational Leadership.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International Perspectives: Research on University Teaching and Faculty Development. </w:t>
      </w:r>
      <w:r>
        <w:rPr>
          <w:rFonts w:ascii="Arial" w:hAnsi="Arial" w:cs="Arial"/>
          <w:color w:val="222222"/>
          <w:sz w:val="21"/>
          <w:szCs w:val="21"/>
        </w:rPr>
        <w:t>In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 O</w:t>
      </w:r>
      <w:r>
        <w:rPr>
          <w:rFonts w:ascii="Arial" w:hAnsi="Arial" w:cs="Arial"/>
          <w:color w:val="222222"/>
          <w:sz w:val="21"/>
          <w:szCs w:val="21"/>
        </w:rPr>
        <w:t>lga M. Alegre &amp; de la Rosa (Ed.), Nova Science Publishers: NY.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Van der Merwe, A.,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Schoonwinkel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A., &amp;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H.T. (2017). The Scholarship of Educational Leadership in a South African Research-intensive University Context: Strategic Approaches to Undergraduate and Graduate Degree Programme Renewal.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International Perspectives: Research on University Teaching and Faculty</w:t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Development. </w:t>
      </w:r>
      <w:r>
        <w:rPr>
          <w:rFonts w:ascii="Arial" w:hAnsi="Arial" w:cs="Arial"/>
          <w:color w:val="222222"/>
          <w:sz w:val="21"/>
          <w:szCs w:val="21"/>
        </w:rPr>
        <w:t>In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 O</w:t>
      </w:r>
      <w:r>
        <w:rPr>
          <w:rFonts w:ascii="Arial" w:hAnsi="Arial" w:cs="Arial"/>
          <w:color w:val="222222"/>
          <w:sz w:val="21"/>
          <w:szCs w:val="21"/>
        </w:rPr>
        <w:t>lga M. Alegre &amp; de la Rosa (Ed.), Nova Science Publishers: NY.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 T., Clarke, A., &amp; Pearson, M. (2016).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Strategic Leadership Development in Research-Intensive Higher Education Contexts: The Scholarship of Educational Leadership</w:t>
      </w:r>
      <w:r>
        <w:rPr>
          <w:rFonts w:ascii="Arial" w:hAnsi="Arial" w:cs="Arial"/>
          <w:color w:val="222222"/>
          <w:sz w:val="21"/>
          <w:szCs w:val="21"/>
        </w:rPr>
        <w:t>. In P. Tripathi and S. Mukerji (Ed.), Handbook of Research on Administration, Policy, and Leadership in Higher Education. PA: IGI Global.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Burt, H., &amp;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H.T. (2016). The scholarship of curriculum leadership: The art, science and politics of faculty engagement.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International Journal for University Teaching and Faculty Development, 5</w:t>
      </w:r>
      <w:r>
        <w:rPr>
          <w:rFonts w:ascii="Arial" w:hAnsi="Arial" w:cs="Arial"/>
          <w:color w:val="222222"/>
          <w:sz w:val="21"/>
          <w:szCs w:val="21"/>
        </w:rPr>
        <w:t>(4).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 T., Clarke, A., Webb, A., &amp; Johnson, B. (2015). Developing institutional leadership for the scholarship of teaching and learning: Lessons learned with senior educational leaders in multinational research-intensive university settings.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International Journal for University Teaching and Faculty Development</w:t>
      </w:r>
      <w:r>
        <w:rPr>
          <w:rFonts w:ascii="Arial" w:hAnsi="Arial" w:cs="Arial"/>
          <w:color w:val="222222"/>
          <w:sz w:val="21"/>
          <w:szCs w:val="21"/>
        </w:rPr>
        <w:t>, 4(4).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H.T., Clarke, A.,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Chng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Huang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Hoon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&amp;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Grimmett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P. (2015). The scholarship of educational leadership in research-intensive university contexts: Institutional implications for promotion and tenure supervision.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Asian Journal of the Scholarship of Teaching and Learning</w:t>
      </w:r>
      <w:r>
        <w:rPr>
          <w:rFonts w:ascii="Arial" w:hAnsi="Arial" w:cs="Arial"/>
          <w:color w:val="222222"/>
          <w:sz w:val="21"/>
          <w:szCs w:val="21"/>
        </w:rPr>
        <w:t>, 5(2).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Pearson, M. L.,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Albon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S. P., &amp;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 (2015). Case study methodology: Flexibility, rigour, and ethical considerations for the scholarship of teaching and Learning.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Canadian Journal for the Scholarship of Teaching and Learning, 6</w:t>
      </w:r>
      <w:r>
        <w:rPr>
          <w:rFonts w:ascii="Arial" w:hAnsi="Arial" w:cs="Arial"/>
          <w:color w:val="222222"/>
          <w:sz w:val="21"/>
          <w:szCs w:val="21"/>
        </w:rPr>
        <w:t>(3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),Article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12.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Ragupathi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K., &amp;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H.T. (2015). Scholarly approaches to learning technology integration in a research-intensive university context: Impact of a new faculty initiative.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Transformative Dialogues Journal, 8</w:t>
      </w:r>
      <w:r>
        <w:rPr>
          <w:rFonts w:ascii="Arial" w:hAnsi="Arial" w:cs="Arial"/>
          <w:color w:val="222222"/>
          <w:sz w:val="21"/>
          <w:szCs w:val="21"/>
        </w:rPr>
        <w:t>(1).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Dawson, S., &amp;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H.T. (2014). Curriculum analytics: Engaging academic communities of practice in program reform.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International Journal for Inquiry in Teaching and Learning, 1</w:t>
      </w:r>
      <w:r>
        <w:rPr>
          <w:rFonts w:ascii="Arial" w:hAnsi="Arial" w:cs="Arial"/>
          <w:color w:val="222222"/>
          <w:sz w:val="21"/>
          <w:szCs w:val="21"/>
        </w:rPr>
        <w:t>(1).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H.T., Clarke, A., Pratt, D. (2013). Fostering Scholarly Approaches to Peer Review of Teaching in a Research-Intensive University. Chapter 12, In Cases on Quality Teaching Practices in Higher Education, (Diane Salter,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Eds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). IGI Global Publishers.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H.T., Pearson, M., &amp; Clarke, A. (2013).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SoTL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inquiry in broader curricula and institutional contexts: Theoretical underpinnings and emerging trends. Invited Peer-reviewed Essay for inaugural issue. International Journal for Inquiry in Teaching and Learning 1(1).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Webb, A., Wong, T., &amp;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H.T. (2013). Professional Development for Adjunct Teaching Faculty in a Research-intensive University: Engagement in Scholarly Approaches to Teaching and Learning. International Journal for Teaching and Learning in Higher Education. 24(2).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H.T.,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Lamberson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M., &amp; Kindler, A. (2012). Strategic Restructuring of a Centre for Teaching and Learning in a Research-Intensive University: Institutional Engagement in Scholarly Approaches to Curriculum Renewal and Pedagogical Practices.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International Journal for University Teaching and Faculty Development. 3</w:t>
      </w:r>
      <w:r>
        <w:rPr>
          <w:rFonts w:ascii="Arial" w:hAnsi="Arial" w:cs="Arial"/>
          <w:color w:val="222222"/>
          <w:sz w:val="21"/>
          <w:szCs w:val="21"/>
        </w:rPr>
        <w:t>(2).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Pearson, M., &amp;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H.T. (2012). Scholarly approaches to curricular integration: Theory-practice implications for the Health Professions.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American Journal for Pharmaceutical Sciences Education, 76</w:t>
      </w:r>
      <w:r>
        <w:rPr>
          <w:rFonts w:ascii="Arial" w:hAnsi="Arial" w:cs="Arial"/>
          <w:color w:val="222222"/>
          <w:sz w:val="21"/>
          <w:szCs w:val="21"/>
        </w:rPr>
        <w:t>(10), Article 204.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H.T., &amp; Pearson, M. (2011). Curriculum evaluation practices and undergraduate degree program reform.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 Invited Chapter contribution for</w:t>
      </w:r>
      <w:r>
        <w:rPr>
          <w:rFonts w:ascii="Arial" w:hAnsi="Arial" w:cs="Arial"/>
          <w:color w:val="222222"/>
          <w:sz w:val="21"/>
          <w:szCs w:val="21"/>
        </w:rPr>
        <w:t xml:space="preserve"> Veronica Bamber, Murray Saunders and Paul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Trowler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(Eds.) ‘Reconceptualising Evaluative Practices in Higher Education’. Open University Press Publishers/SRHE.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Wang, B., Peng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,</w:t>
      </w:r>
      <w:r>
        <w:rPr>
          <w:rFonts w:ascii="Arial" w:hAnsi="Arial" w:cs="Arial"/>
          <w:color w:val="222222"/>
          <w:sz w:val="21"/>
          <w:szCs w:val="21"/>
        </w:rPr>
        <w:t xml:space="preserve"> J., Pearson, M. &amp;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H.T. (2011). Internationalization of a faculty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SoTL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program: Immersion experiences of Beijing professors in a Canadian research-intensive university.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 International Journal for the Scholarship of Teaching &amp; Learning</w:t>
      </w:r>
      <w:r>
        <w:rPr>
          <w:rFonts w:ascii="Arial" w:hAnsi="Arial" w:cs="Arial"/>
          <w:color w:val="222222"/>
          <w:sz w:val="21"/>
          <w:szCs w:val="21"/>
        </w:rPr>
        <w:t>,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5</w:t>
      </w:r>
      <w:r>
        <w:rPr>
          <w:rFonts w:ascii="Arial" w:hAnsi="Arial" w:cs="Arial"/>
          <w:color w:val="222222"/>
          <w:sz w:val="21"/>
          <w:szCs w:val="21"/>
        </w:rPr>
        <w:t>(2).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H.T., &amp; Edwards-Henry, A. (2011). International collaboration to align institutional teaching development, learning-centred curricula, and the scholarship of curriculum and pedagogy in higher education.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 Inaugural Caribbean Teaching Scholar: Journal of the Educational Research Association</w:t>
      </w:r>
      <w:r>
        <w:rPr>
          <w:rFonts w:ascii="Arial" w:hAnsi="Arial" w:cs="Arial"/>
          <w:color w:val="222222"/>
          <w:sz w:val="21"/>
          <w:szCs w:val="21"/>
        </w:rPr>
        <w:t>,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1</w:t>
      </w:r>
      <w:r>
        <w:rPr>
          <w:rFonts w:ascii="Arial" w:hAnsi="Arial" w:cs="Arial"/>
          <w:color w:val="222222"/>
          <w:sz w:val="21"/>
          <w:szCs w:val="21"/>
        </w:rPr>
        <w:t>(1) 35-47.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H.T., &amp; Clarke, A. (2011). Scholarly approaches to peer-review of teaching: Emergent frameworks and outcomes in a research-intensive university.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 Transformative Dialogues Journal,</w:t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4</w:t>
      </w:r>
      <w:r>
        <w:rPr>
          <w:rFonts w:ascii="Arial" w:hAnsi="Arial" w:cs="Arial"/>
          <w:color w:val="222222"/>
          <w:sz w:val="21"/>
          <w:szCs w:val="21"/>
        </w:rPr>
        <w:t>(2).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H.T., &amp; Clarke, A. (2010). Diverse methodological approaches and considerations for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SoTL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Higher Education. Invited Peer-reviewed Essay for inaugural issue.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 Canadian Journal of the Scholarship of</w:t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Teaching &amp; Learning in Higher Education, 1(1) 18 pgs.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H.T., &amp; Pearson, M. (2010). Grappling with the complexity of undergraduate degree program reform: Critical barriers and emergent strategies.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 Transformative Dialogues, 3(3), 17 pgs.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H.T., Clarke, A., &amp; Poole, G. (2010). Ten-year Reflections on Mentoring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SoTL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Research in a Research-Intensive University. (Accepted).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 International Journal for Academic Development.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H.T. (2009). International approaches to aligning learning-centred curricula and staff development: Developing scholarly approaches to curriculum and pedagogical practice in higher education.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 National University of Singapore CDTL on-line Journal, 12</w:t>
      </w:r>
      <w:r>
        <w:rPr>
          <w:rFonts w:ascii="Arial" w:hAnsi="Arial" w:cs="Arial"/>
          <w:color w:val="222222"/>
          <w:sz w:val="21"/>
          <w:szCs w:val="21"/>
        </w:rPr>
        <w:t>(3)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, Article 1.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H.T., &amp; Pearson, M. (2009). Curriculum leadership portfolios: Enhancing scholarly approaches to undergraduate degree program reform.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 Transformative Dialogues, 3(2).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H.T., &amp; Kennedy, J. (2009). Context-based learning: Research and practice implications in outdoor experiential education.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 Transformative Dialogues, 3(2).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H., &amp;</w:t>
      </w:r>
      <w:r>
        <w:rPr>
          <w:rFonts w:ascii="Arial" w:hAnsi="Arial" w:cs="Arial"/>
          <w:i/>
          <w:iCs/>
          <w:color w:val="222222"/>
          <w:sz w:val="21"/>
          <w:szCs w:val="21"/>
        </w:rPr>
        <w:t> West, D</w:t>
      </w:r>
      <w:r>
        <w:rPr>
          <w:rFonts w:ascii="Arial" w:hAnsi="Arial" w:cs="Arial"/>
          <w:color w:val="222222"/>
          <w:sz w:val="21"/>
          <w:szCs w:val="21"/>
        </w:rPr>
        <w:t>. (2009). Learning-centred planning in outdoor education programs: Enhancing participation and self-directed learning.</w:t>
      </w:r>
      <w:r>
        <w:rPr>
          <w:rFonts w:ascii="Arial" w:hAnsi="Arial" w:cs="Arial"/>
          <w:i/>
          <w:iCs/>
          <w:color w:val="222222"/>
          <w:sz w:val="21"/>
          <w:szCs w:val="21"/>
        </w:rPr>
        <w:t> Strategies, Journal for Physical and Sport Educators, 23(1), 25-27.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H., &amp; West, D. (2008). Faculty wellness strategies: Critical foundations for the scholarship of teaching and learning.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Transformative Dialogues, Teaching &amp; Learning Journal, 2</w:t>
      </w:r>
      <w:r>
        <w:rPr>
          <w:rFonts w:ascii="Arial" w:hAnsi="Arial" w:cs="Arial"/>
          <w:color w:val="222222"/>
          <w:sz w:val="21"/>
          <w:szCs w:val="21"/>
        </w:rPr>
        <w:t>(1), 1-11, Article 2.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lastRenderedPageBreak/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H., &amp; Poole, G. (2008). Program-level assessment of learning outcomes in a faculty certificate program on the scholarship of teaching and learning. Collection of Essays for Teaching and Learning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Eds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). Society for Teaching and Learning in Higher Education Publishers.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Iaria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G., &amp;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 (2008). Assessing student engagement in small and Large Classes.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Transformative Dialogues Teaching &amp; Learning Journal, 2</w:t>
      </w:r>
      <w:r>
        <w:rPr>
          <w:rFonts w:ascii="Arial" w:hAnsi="Arial" w:cs="Arial"/>
          <w:color w:val="222222"/>
          <w:sz w:val="21"/>
          <w:szCs w:val="21"/>
        </w:rPr>
        <w:t>(1), 1-8, Article 3.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H., &amp; West, D. (2008). Silence and authentic reflection strategies: Holistic learning in an outdoor education program.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Physical and Health Education Journal, 74</w:t>
      </w:r>
      <w:r>
        <w:rPr>
          <w:rFonts w:ascii="Arial" w:hAnsi="Arial" w:cs="Arial"/>
          <w:color w:val="222222"/>
          <w:sz w:val="21"/>
          <w:szCs w:val="21"/>
        </w:rPr>
        <w:t>(2), 12-14.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Lanyon, L., &amp;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 (2008). Gender considerations and innovative learning-centred assessment practices.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Transformative Dialogues Teaching &amp; Learning Journal, 2</w:t>
      </w:r>
      <w:r>
        <w:rPr>
          <w:rFonts w:ascii="Arial" w:hAnsi="Arial" w:cs="Arial"/>
          <w:color w:val="222222"/>
          <w:sz w:val="21"/>
          <w:szCs w:val="21"/>
        </w:rPr>
        <w:t>(1), 1-12, Article 5.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H.T., &amp; Gold, N. (2007). The Scholarship of Curriculum Practice and Undergraduate Program Reform: Theory-Practice Integration. In P. Wolfe and J. Christensen Hughes (eds.)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Curriculum Development in Higher Education: Faculty-Driven Processes &amp; Practices</w:t>
      </w:r>
      <w:r>
        <w:rPr>
          <w:rFonts w:ascii="Arial" w:hAnsi="Arial" w:cs="Arial"/>
          <w:color w:val="222222"/>
          <w:sz w:val="21"/>
          <w:szCs w:val="21"/>
        </w:rPr>
        <w:t>. New Directions for</w:t>
      </w:r>
      <w:r>
        <w:rPr>
          <w:rFonts w:ascii="Arial" w:hAnsi="Arial" w:cs="Arial"/>
          <w:color w:val="222222"/>
          <w:sz w:val="21"/>
          <w:szCs w:val="21"/>
        </w:rPr>
        <w:br/>
        <w:t>Teaching and Learning (the “Journal”), 112, 5-14. San Francisco: Jossey-Bass Publishers.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H.T., Mighty, J.,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Britnell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J. &amp; Gold, N. (2007). Learning-Centred Undergraduate Curricula in Programme, Institutional and Provincial Contexts. In P. Wolfe and J. Christensen Hughes (eds.)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Curriculum Development in Higher Education: Faculty-Driven Processes &amp; Practices</w:t>
      </w:r>
      <w:r>
        <w:rPr>
          <w:rFonts w:ascii="Arial" w:hAnsi="Arial" w:cs="Arial"/>
          <w:color w:val="222222"/>
          <w:sz w:val="21"/>
          <w:szCs w:val="21"/>
        </w:rPr>
        <w:t>. New Directions for Teaching and Learning (the “Journal”), 112, 93-106. San Francisco: Jossey-Bass Publishers.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H.T., &amp; Burt, H. (2007). Learning Outcomes and Program-level Evaluation in a 4-Year Undergraduate Pharmacy Curriculum.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American Journal for Pharmaceutical Education, 71</w:t>
      </w:r>
      <w:r>
        <w:rPr>
          <w:rFonts w:ascii="Arial" w:hAnsi="Arial" w:cs="Arial"/>
          <w:color w:val="222222"/>
          <w:sz w:val="21"/>
          <w:szCs w:val="21"/>
        </w:rPr>
        <w:t>(5), Article 90, 1-8.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H.T., &amp;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Albon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S. (2007). Developing a Faculty Learning Community: Enhancing the Scholarship of Teaching, Learning and Curriculum Practice.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Journal on Excellence in College Teaching, 18</w:t>
      </w:r>
      <w:r>
        <w:rPr>
          <w:rFonts w:ascii="Arial" w:hAnsi="Arial" w:cs="Arial"/>
          <w:color w:val="222222"/>
          <w:sz w:val="21"/>
          <w:szCs w:val="21"/>
        </w:rPr>
        <w:t>(2),119-142.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H.T., and Burt, H.D. (2005). Scholarship of Teaching and Learning: Theory Practice Integration in Faculty Certificate Programs.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Innovative Higher Education, 30</w:t>
      </w:r>
      <w:r>
        <w:rPr>
          <w:rFonts w:ascii="Arial" w:hAnsi="Arial" w:cs="Arial"/>
          <w:color w:val="222222"/>
          <w:sz w:val="21"/>
          <w:szCs w:val="21"/>
        </w:rPr>
        <w:t>(5), 17 pgs.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H.T., Pratt, D.D., and Collins, J. (2005). Enhancing reflective practices: Implications for Faculty Development Programs.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Canadian Journal of Higher Education, 35</w:t>
      </w:r>
      <w:r>
        <w:rPr>
          <w:rFonts w:ascii="Arial" w:hAnsi="Arial" w:cs="Arial"/>
          <w:color w:val="222222"/>
          <w:sz w:val="21"/>
          <w:szCs w:val="21"/>
        </w:rPr>
        <w:t>(3), 57-81.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Albon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S., and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H.T. (2004). Course Design in Pharmaceutical Sciences: A Learning-Centred Approach. Submitted to the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American Journal of Pharmaceutical Education, 68</w:t>
      </w:r>
      <w:r>
        <w:rPr>
          <w:rFonts w:ascii="Arial" w:hAnsi="Arial" w:cs="Arial"/>
          <w:color w:val="222222"/>
          <w:sz w:val="21"/>
          <w:szCs w:val="21"/>
        </w:rPr>
        <w:t>(5), 15 pgs.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H.T., and Burt, H.D (2004). An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Intergrated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Approach to Developing and Implementing Learning-Centred Curricula.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International Journal for Academic Development, 9</w:t>
      </w:r>
      <w:r>
        <w:rPr>
          <w:rFonts w:ascii="Arial" w:hAnsi="Arial" w:cs="Arial"/>
          <w:color w:val="222222"/>
          <w:sz w:val="21"/>
          <w:szCs w:val="21"/>
        </w:rPr>
        <w:t>(1), 51-65.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H.T., and Poole, G. (2004). Learning-centred education to meet the diverse needs and circumstances of university faculty through an eight-month programme on teaching and learning in higher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education.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International</w:t>
      </w:r>
      <w:proofErr w:type="spellEnd"/>
      <w:proofErr w:type="gramEnd"/>
      <w:r>
        <w:rPr>
          <w:rStyle w:val="Emphasis"/>
          <w:rFonts w:ascii="Arial" w:hAnsi="Arial" w:cs="Arial"/>
          <w:color w:val="222222"/>
          <w:sz w:val="21"/>
          <w:szCs w:val="21"/>
        </w:rPr>
        <w:t xml:space="preserve"> Journal for Academic Development, 8</w:t>
      </w:r>
      <w:r>
        <w:rPr>
          <w:rFonts w:ascii="Arial" w:hAnsi="Arial" w:cs="Arial"/>
          <w:color w:val="222222"/>
          <w:sz w:val="21"/>
          <w:szCs w:val="21"/>
        </w:rPr>
        <w:t>(2), 11-24.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H.T., Clarke, A., and Beach, A.L. (2004). Assessing Faculty Learning Communities. In M.D. Cox and L.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Richlin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(eds.),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Building Faculty Learning Communities. New Directions for Teaching and Learning (the “Journal”)</w:t>
      </w:r>
      <w:r>
        <w:rPr>
          <w:rFonts w:ascii="Arial" w:hAnsi="Arial" w:cs="Arial"/>
          <w:color w:val="222222"/>
          <w:sz w:val="21"/>
          <w:szCs w:val="21"/>
        </w:rPr>
        <w:t>, 97, 87-100 pg. San Francisco: Jossey-Bass.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H.T, and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Albon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S. (2004). The scholarship of Teaching and Learning in the UBC Faculty Certificate Program on Teaching and Learning in Higher Education. Conference Proceedings. UBC Learning Conference, University of British Columbia.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H.T., and Levy, A (2004). Graduate Course Design in Health Care and Epidemiology A Learning-Centred Approach. 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Journal for Faculty Development, 20</w:t>
      </w:r>
      <w:r>
        <w:rPr>
          <w:rFonts w:ascii="Arial" w:hAnsi="Arial" w:cs="Arial"/>
          <w:color w:val="222222"/>
          <w:sz w:val="21"/>
          <w:szCs w:val="21"/>
        </w:rPr>
        <w:t>(1), 11-19.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lastRenderedPageBreak/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H, &amp; Clarke. A. (2002). Development and Evaluation of a Physical Education Methods Course as an Immersion Experience for Student Teachers in an Elementary School Setting. CUPR research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supplement,</w:t>
      </w:r>
      <w:r>
        <w:rPr>
          <w:rStyle w:val="Emphasis"/>
          <w:rFonts w:ascii="Arial" w:hAnsi="Arial" w:cs="Arial"/>
          <w:color w:val="222222"/>
          <w:sz w:val="21"/>
          <w:szCs w:val="21"/>
        </w:rPr>
        <w:t>Physical</w:t>
      </w:r>
      <w:proofErr w:type="spellEnd"/>
      <w:proofErr w:type="gramEnd"/>
      <w:r>
        <w:rPr>
          <w:rStyle w:val="Emphasis"/>
          <w:rFonts w:ascii="Arial" w:hAnsi="Arial" w:cs="Arial"/>
          <w:color w:val="222222"/>
          <w:sz w:val="21"/>
          <w:szCs w:val="21"/>
        </w:rPr>
        <w:t xml:space="preserve"> and Health Education Journal, 68</w:t>
      </w:r>
      <w:r>
        <w:rPr>
          <w:rFonts w:ascii="Arial" w:hAnsi="Arial" w:cs="Arial"/>
          <w:color w:val="222222"/>
          <w:sz w:val="21"/>
          <w:szCs w:val="21"/>
        </w:rPr>
        <w:t>(2), 42.</w:t>
      </w:r>
    </w:p>
    <w:p w:rsidR="003A7B81" w:rsidRDefault="003A7B81" w:rsidP="003A7B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Clarke, A., and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Hubball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H.T. (2001). Physical Education Methods Course as an Immersion Experience in an Elementary Setting. </w:t>
      </w:r>
      <w:proofErr w:type="spellStart"/>
      <w:r>
        <w:rPr>
          <w:rStyle w:val="Emphasis"/>
          <w:rFonts w:ascii="Arial" w:hAnsi="Arial" w:cs="Arial"/>
          <w:color w:val="222222"/>
          <w:sz w:val="21"/>
          <w:szCs w:val="21"/>
        </w:rPr>
        <w:t>Avante</w:t>
      </w:r>
      <w:proofErr w:type="spellEnd"/>
      <w:r>
        <w:rPr>
          <w:rStyle w:val="Emphasis"/>
          <w:rFonts w:ascii="Arial" w:hAnsi="Arial" w:cs="Arial"/>
          <w:color w:val="222222"/>
          <w:sz w:val="21"/>
          <w:szCs w:val="21"/>
        </w:rPr>
        <w:t>, 7</w:t>
      </w:r>
      <w:r>
        <w:rPr>
          <w:rFonts w:ascii="Arial" w:hAnsi="Arial" w:cs="Arial"/>
          <w:color w:val="222222"/>
          <w:sz w:val="21"/>
          <w:szCs w:val="21"/>
        </w:rPr>
        <w:t>(2), 11-27.</w:t>
      </w:r>
    </w:p>
    <w:p w:rsidR="00AC653F" w:rsidRDefault="00AC653F"/>
    <w:sectPr w:rsidR="00AC653F" w:rsidSect="00387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81"/>
    <w:rsid w:val="001770B2"/>
    <w:rsid w:val="00387391"/>
    <w:rsid w:val="003A7B81"/>
    <w:rsid w:val="00A35DAA"/>
    <w:rsid w:val="00A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DF2C9"/>
  <w15:chartTrackingRefBased/>
  <w15:docId w15:val="{6B5C04E4-A991-7840-8B65-770672BF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B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A7B81"/>
    <w:rPr>
      <w:b/>
      <w:bCs/>
    </w:rPr>
  </w:style>
  <w:style w:type="character" w:styleId="Emphasis">
    <w:name w:val="Emphasis"/>
    <w:basedOn w:val="DefaultParagraphFont"/>
    <w:uiPriority w:val="20"/>
    <w:qFormat/>
    <w:rsid w:val="003A7B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A7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1680</Words>
  <Characters>9577</Characters>
  <Application>Microsoft Office Word</Application>
  <DocSecurity>0</DocSecurity>
  <Lines>79</Lines>
  <Paragraphs>22</Paragraphs>
  <ScaleCrop>false</ScaleCrop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2020-03-09T17:51:00Z</dcterms:created>
  <dcterms:modified xsi:type="dcterms:W3CDTF">2020-03-09T17:54:00Z</dcterms:modified>
</cp:coreProperties>
</file>